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Rad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Dialogu Społecznego </w:t>
        <w:br w:type="textWrapping"/>
        <w:t xml:space="preserve">w sprawie zmian regulaminu Sejmu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Podczas ostatniego posiedzenia plenarnego Rady Dialogu Społecznego, pod przewodnictwem Business Centre Club, dyskutowana była między innymi kwestia konieczności wprowadzenia obowiązkowych konsultacji społecznych oraz ich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uwzględniania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w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procesie stanowienia prawa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 To jeden z „kamieni milowych” koniecznych do usprawnienia procesu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legislacyjnego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oraz do uruchomienia środków z Krajowego Planu Odbudowy.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2b2b2b"/>
          <w:sz w:val="22"/>
          <w:szCs w:val="22"/>
          <w:u w:val="none"/>
          <w:shd w:fill="fffee1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Przewodniczący Rady Dialogu Społecznego - Łukasz Bernatowicz oraz Marek Kowalski,  Przewodniczący Zarządu Federacji Przedsiębiorców Polskich, poruszyli kwestie usprawnieniu procesu stanowienia polskiego prawa, nowelizacji regulaminów Sejmu i Senatu oraz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regulaminu pracy Rady Ministrów,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uwzględniającej wprowadzenie obowiązku przeprowadzenia konsultacji społecznych w przypadku projektów zgłaszanych przez posłów i Senat. Na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westie te wskazano 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kamie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niu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milowym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F4G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określając następujące zadania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wprowadzenie obowiązku przeprowadzania oceny skutków regulacji oraz konsultacji społecznych w przypadku projektów ustaw zgłaszanych przez posłów i senatorów,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5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ograniczenie stosowania procedur przyspieszonych do ściśle określonych i wyjątkowych przypadków.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Warto zauważyć, że ten “kamień milowy” w sposób właściwy identyfikuje braki w polskim systemie legislacyjnym.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Jego wypełnienie nie tylko przybliży otrzymanie funduszy unijnych zaplanowanych dla Polski w ramach KPO, ale także wpłynie na podniesienie jakości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olskiego prawa.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„Kluczowym rezultatem reformy będzie usprawnienie procesu programowania działań publicznych, aby podejmowane decyzje dotyczące kształtu danej 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polityki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zapadały przy jak najszerszym zaangażowaniu interesariuszy i we współpracy z nimi, w szczególności poprzez usprawnienie procesu konsultacji oraz innych form zaangażowania obywateli w rządzenie” - doprecyzowują zapisy zawarte w KPO.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Przewodniczący RDS podkreślił, że nie ma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pojawiające się w opinii publicznej twierdzenia, iż wymagania stawiane przez Komisję Europejską są próbą ingerencji w suwerenność naszego kraju.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Przedstawiciele organizacji wchodzących w skład Rady Dialogu Społecznego wielokrotnie wskazywali, jak ważne jest umożliwienie szerokich konsultacji społecznych.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Dla nas, jako przedstawicieli różnych środowisk zasiadających w Radzie Dialogu Społecznego, kluczowym interesem jest taka zmiana przepisów, która spowoduje, że konsultacje społeczne będą wymagane. Zwracam uwagę, że o to samo postulujemy w projekcie ustawy zmieniającej ustawę o Radzie Dialogu Społecznego. W projekcie tym wskazujemy na element obowiązkowych konsultacji, społecznych, które w ścieżce parlamentarnej będą uwzględniane, a nie wykluczane, jak ma to miejsce obecnie.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- podkreśla Łukasz Bernatowicz.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2b2b2b"/>
          <w:sz w:val="22"/>
          <w:szCs w:val="22"/>
          <w:shd w:fill="fffee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2b2b2b"/>
          <w:sz w:val="22"/>
          <w:szCs w:val="22"/>
          <w:shd w:fill="fffee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***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BCC to największa w kraju ustawowa organizacja indywidualnych pracodawców. Członkowie Klubu zatrudniają ponad 400 tys. pracowników, przychody firm to ponad 200 miliardów złotych, a siedziby rozlokowane są w 250 miastach. Na terenie Polski działają 22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1"/>
            <w:sz w:val="20"/>
            <w:szCs w:val="20"/>
            <w:rtl w:val="0"/>
          </w:rPr>
          <w:t xml:space="preserve">loże regionalne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przedsiębiorców są także prawnicy, dziennikarze, naukowcy, wydawcy, lekarze, wojskowi i studenci.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b w:val="1"/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color w:val="33363b"/>
          <w:sz w:val="20"/>
          <w:szCs w:val="20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0"/>
            <w:szCs w:val="20"/>
            <w:u w:val="single"/>
            <w:rtl w:val="0"/>
          </w:rPr>
          <w:t xml:space="preserve">www.bcc.pl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  <w:b w:val="1"/>
          <w:color w:val="33363b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63b"/>
          <w:sz w:val="20"/>
          <w:szCs w:val="20"/>
          <w:rtl w:val="0"/>
        </w:rPr>
        <w:t xml:space="preserve">Business Centre Club w mediach społecznościowych: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  <w:b w:val="1"/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  <w:color w:val="33363b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33363b"/>
          <w:sz w:val="20"/>
          <w:szCs w:val="20"/>
          <w:rtl w:val="0"/>
        </w:rPr>
        <w:t xml:space="preserve">LinkedIn: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0"/>
            <w:szCs w:val="20"/>
            <w:u w:val="single"/>
            <w:rtl w:val="0"/>
          </w:rPr>
          <w:t xml:space="preserve">www.linkedin.com/company/business-centre-club/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color w:val="33363b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33363b"/>
          <w:sz w:val="20"/>
          <w:szCs w:val="20"/>
          <w:rtl w:val="0"/>
        </w:rPr>
        <w:t xml:space="preserve">Facebook: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0"/>
            <w:szCs w:val="20"/>
            <w:u w:val="single"/>
            <w:rtl w:val="0"/>
          </w:rPr>
          <w:t xml:space="preserve">www.facebook.com/businesscentreclub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  <w:color w:val="0000ff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color w:val="33363b"/>
          <w:sz w:val="20"/>
          <w:szCs w:val="20"/>
          <w:rtl w:val="0"/>
        </w:rPr>
        <w:t xml:space="preserve">Twitter: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0"/>
            <w:szCs w:val="20"/>
            <w:u w:val="single"/>
            <w:rtl w:val="0"/>
          </w:rPr>
          <w:t xml:space="preserve">www.twitter.com/BCCorg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2b2b2b"/>
          <w:sz w:val="22"/>
          <w:szCs w:val="22"/>
          <w:shd w:fill="fffee2" w:val="clear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2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114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86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258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330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402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474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546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6185" w:hanging="360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numbering" w:styleId="Zaimportowany styl 1">
    <w:name w:val="Zaimportowany styl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acebook.com/businesscentreclub" TargetMode="External"/><Relationship Id="rId10" Type="http://schemas.openxmlformats.org/officeDocument/2006/relationships/hyperlink" Target="http://www.linkedin.com/company/business-centre-club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twitter.com/BCC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cc.pl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azetaprawna.pl/tagi/polityka" TargetMode="External"/><Relationship Id="rId8" Type="http://schemas.openxmlformats.org/officeDocument/2006/relationships/hyperlink" Target="https://www.bcc.org.pl/loze-regional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yIeEzIUI0xOAYwob1wCl09H1Hg==">AMUW2mX/Jh3KkWFWFPxXKpPWLMo3qODJ32ZlqeGA0RqLkPCaXZrhtuU7GkmqMFn0DK/8dlKbYnislbtIkBbz1/W6hppxsBf2FsWdx/dzd9Tbt9PiNqZNzaA=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